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1" w:rsidRDefault="00C313B1" w:rsidP="00C313B1">
      <w:pPr>
        <w:pStyle w:val="Heading2"/>
        <w:numPr>
          <w:ilvl w:val="0"/>
          <w:numId w:val="0"/>
        </w:numPr>
        <w:tabs>
          <w:tab w:val="clear" w:pos="1985"/>
          <w:tab w:val="left" w:pos="0"/>
        </w:tabs>
        <w:spacing w:after="120" w:line="280" w:lineRule="exact"/>
        <w:jc w:val="left"/>
        <w:rPr>
          <w:rFonts w:ascii="Tahoma" w:hAnsi="Tahoma" w:cs="Tahoma"/>
          <w:sz w:val="22"/>
          <w:szCs w:val="22"/>
          <w:lang w:eastAsia="en-US"/>
        </w:rPr>
      </w:pPr>
      <w:bookmarkStart w:id="0" w:name="_Toc400450271"/>
      <w:r>
        <w:rPr>
          <w:rFonts w:ascii="Tahoma" w:hAnsi="Tahoma" w:cs="Tahoma"/>
          <w:sz w:val="22"/>
          <w:szCs w:val="22"/>
        </w:rPr>
        <w:t xml:space="preserve">ΟΔΗΓΙΑ </w:t>
      </w:r>
      <w:r w:rsidRPr="008607BA">
        <w:rPr>
          <w:rFonts w:ascii="Tahoma" w:hAnsi="Tahoma" w:cs="Tahoma"/>
          <w:sz w:val="22"/>
          <w:szCs w:val="22"/>
        </w:rPr>
        <w:t>O.VIII.2_1</w:t>
      </w:r>
      <w:r w:rsidRPr="007078E7">
        <w:rPr>
          <w:rFonts w:ascii="Tahoma" w:hAnsi="Tahoma" w:cs="Tahoma"/>
          <w:sz w:val="22"/>
          <w:szCs w:val="22"/>
        </w:rPr>
        <w:t xml:space="preserve">: </w:t>
      </w:r>
      <w:bookmarkEnd w:id="0"/>
      <w:r w:rsidRPr="008607BA">
        <w:rPr>
          <w:rFonts w:ascii="Tahoma" w:hAnsi="Tahoma" w:cs="Tahoma"/>
          <w:sz w:val="22"/>
          <w:szCs w:val="22"/>
          <w:lang w:eastAsia="en-US"/>
        </w:rPr>
        <w:t>Ορισμοί για παρατυπίες και θέματα απάτης</w:t>
      </w:r>
    </w:p>
    <w:p w:rsidR="00C313B1" w:rsidRPr="00170101" w:rsidRDefault="00C313B1" w:rsidP="00C313B1">
      <w:pPr>
        <w:rPr>
          <w:rFonts w:ascii="Tahoma" w:hAnsi="Tahoma" w:cs="Tahoma"/>
          <w:b/>
          <w:color w:val="C00000"/>
          <w:sz w:val="20"/>
          <w:szCs w:val="20"/>
        </w:rPr>
      </w:pPr>
    </w:p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050"/>
      </w:tblGrid>
      <w:tr w:rsidR="00C313B1" w:rsidRPr="00170101" w:rsidTr="00411DC0">
        <w:tc>
          <w:tcPr>
            <w:tcW w:w="2612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«Παρατυπία</w:t>
            </w:r>
            <w:r w:rsidR="007518A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32668">
              <w:rPr>
                <w:rFonts w:ascii="Tahoma" w:hAnsi="Tahoma" w:cs="Tahoma"/>
                <w:sz w:val="20"/>
                <w:szCs w:val="20"/>
              </w:rPr>
              <w:t>-</w:t>
            </w:r>
            <w:r w:rsidR="007518A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irregularity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»:</w:t>
            </w:r>
          </w:p>
        </w:tc>
        <w:tc>
          <w:tcPr>
            <w:tcW w:w="7050" w:type="dxa"/>
            <w:tcBorders>
              <w:left w:val="nil"/>
              <w:bottom w:val="nil"/>
            </w:tcBorders>
            <w:shd w:val="clear" w:color="auto" w:fill="auto"/>
          </w:tcPr>
          <w:p w:rsidR="006476BE" w:rsidRPr="006476BE" w:rsidRDefault="00C313B1" w:rsidP="006476BE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άθε παράβαση του ενωσιακού δικαίου ή του σχετικού με την εφαρμογή του εθνικού δικαίου, η οποία προκύπτει από πράξη ή παράλειψη οικονομικού φορέα που εμπλέκεται στη θέσπιση των ΕΔΕΤ, και η οποία ζημιώνει ή ενδέχεται να ζημιώσει τον προϋπολογισμό της Ένωσης με καταλογισμό αδικαιολόγητης δαπάνης στον προϋπολογισμό της Ένωσης. </w:t>
            </w:r>
            <w:r w:rsidR="006476BE" w:rsidRPr="00332668">
              <w:rPr>
                <w:rFonts w:ascii="Tahoma" w:hAnsi="Tahoma" w:cs="Tahoma"/>
                <w:i/>
                <w:sz w:val="16"/>
                <w:szCs w:val="16"/>
              </w:rPr>
              <w:t>[Πηγή: άρθρ</w:t>
            </w:r>
            <w:r w:rsidR="006476BE">
              <w:rPr>
                <w:rFonts w:ascii="Tahoma" w:hAnsi="Tahoma" w:cs="Tahoma"/>
                <w:i/>
                <w:sz w:val="16"/>
                <w:szCs w:val="16"/>
              </w:rPr>
              <w:t xml:space="preserve">ο 2 </w:t>
            </w:r>
            <w:r w:rsidR="006476BE" w:rsidRPr="006476BE">
              <w:rPr>
                <w:rFonts w:ascii="Tahoma" w:hAnsi="Tahoma" w:cs="Tahoma"/>
                <w:i/>
                <w:sz w:val="16"/>
                <w:szCs w:val="16"/>
              </w:rPr>
              <w:t>στ. (36)</w:t>
            </w:r>
            <w:r w:rsidR="006476BE">
              <w:rPr>
                <w:rFonts w:ascii="Tahoma" w:hAnsi="Tahoma" w:cs="Tahoma"/>
                <w:i/>
                <w:sz w:val="16"/>
                <w:szCs w:val="16"/>
              </w:rPr>
              <w:t xml:space="preserve"> Καν. (ΕΕ) 1303/2013, άρθρο </w:t>
            </w:r>
            <w:r w:rsidR="006476BE" w:rsidRPr="006476BE">
              <w:rPr>
                <w:rFonts w:ascii="Tahoma" w:hAnsi="Tahoma" w:cs="Tahoma"/>
                <w:i/>
                <w:sz w:val="16"/>
                <w:szCs w:val="16"/>
              </w:rPr>
              <w:t>3 στ. 19</w:t>
            </w:r>
            <w:r w:rsidR="006476BE" w:rsidRPr="00332668">
              <w:rPr>
                <w:rFonts w:ascii="Tahoma" w:hAnsi="Tahoma" w:cs="Tahoma"/>
                <w:i/>
                <w:sz w:val="16"/>
                <w:szCs w:val="16"/>
              </w:rPr>
              <w:t xml:space="preserve"> Ν. 4314/2014-</w:t>
            </w:r>
            <w:r w:rsidR="006476BE" w:rsidRPr="006476BE">
              <w:rPr>
                <w:rFonts w:ascii="Tahoma" w:hAnsi="Tahoma" w:cs="Tahoma"/>
                <w:i/>
                <w:sz w:val="16"/>
                <w:szCs w:val="16"/>
              </w:rPr>
              <w:t xml:space="preserve"> ΦΕΚ Α 265/23-12-2014</w:t>
            </w:r>
            <w:r w:rsidR="006476BE" w:rsidRPr="00332668">
              <w:rPr>
                <w:rFonts w:ascii="Tahoma" w:hAnsi="Tahoma" w:cs="Tahoma"/>
                <w:i/>
                <w:sz w:val="16"/>
                <w:szCs w:val="16"/>
              </w:rPr>
              <w:t>]</w:t>
            </w:r>
          </w:p>
        </w:tc>
      </w:tr>
      <w:tr w:rsidR="00C313B1" w:rsidRPr="00170101" w:rsidTr="00411DC0">
        <w:tc>
          <w:tcPr>
            <w:tcW w:w="966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13B1" w:rsidRPr="003B7EE2" w:rsidRDefault="00C313B1" w:rsidP="00411DC0">
            <w:pPr>
              <w:spacing w:after="12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B7E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Σημειώσεις/ Διευκρινήσεις: </w:t>
            </w:r>
          </w:p>
          <w:p w:rsidR="00C313B1" w:rsidRPr="003B7EE2" w:rsidRDefault="00C313B1" w:rsidP="00411DC0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EE2">
              <w:rPr>
                <w:rFonts w:ascii="Tahoma" w:hAnsi="Tahoma" w:cs="Tahoma"/>
                <w:color w:val="000000"/>
                <w:sz w:val="18"/>
                <w:szCs w:val="18"/>
              </w:rPr>
              <w:t>Ο ορισμός αυτός καλύπτει όλες τις αντικειμενικές συμπεριφορές (πράξ</w:t>
            </w:r>
            <w:r w:rsidRPr="006476BE">
              <w:rPr>
                <w:rFonts w:ascii="Tahoma" w:hAnsi="Tahoma" w:cs="Tahoma"/>
                <w:color w:val="000000"/>
                <w:sz w:val="18"/>
                <w:szCs w:val="18"/>
              </w:rPr>
              <w:t>εις ή</w:t>
            </w:r>
            <w:r w:rsidR="0015038E" w:rsidRPr="003B7E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παραλείψεις</w:t>
            </w:r>
            <w:r w:rsidRPr="003B7EE2">
              <w:rPr>
                <w:rFonts w:ascii="Tahoma" w:hAnsi="Tahoma" w:cs="Tahoma"/>
                <w:color w:val="000000"/>
                <w:sz w:val="18"/>
                <w:szCs w:val="18"/>
              </w:rPr>
              <w:t>) οικονομικού φορέα, συμπεριλαμβανομένων των µη εκ προθέσεως συμπεριφορών που θα μπορούσαν να ζημιώσουν τον κοινοτικό προϋπολογισμό.</w:t>
            </w:r>
          </w:p>
          <w:p w:rsidR="00C313B1" w:rsidRPr="003B7EE2" w:rsidRDefault="00C313B1" w:rsidP="00411DC0">
            <w:pPr>
              <w:spacing w:after="12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B7EE2">
              <w:rPr>
                <w:rFonts w:ascii="Tahoma" w:hAnsi="Tahoma" w:cs="Tahoma"/>
                <w:color w:val="000000"/>
                <w:sz w:val="18"/>
                <w:szCs w:val="18"/>
              </w:rPr>
              <w:t>Κάθε παρατυπία, η οποία, αφενός μεν αποτέλεσε αντικείμενο μιας πρώτης διοικητικής ή δικαστικής πράξης διαπίστωσης, αφετέρου δε οδήγησε σε ποσό δημοσιονομικής διόρθωσης κοινοτικής συνδρομής μεγαλύτερης από 10.000 ευρώ, αναφέρεται στην ΕΕ.</w:t>
            </w:r>
          </w:p>
        </w:tc>
      </w:tr>
      <w:tr w:rsidR="00C313B1" w:rsidRPr="00170101" w:rsidTr="00411DC0">
        <w:tc>
          <w:tcPr>
            <w:tcW w:w="96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411DC0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411DC0">
        <w:tc>
          <w:tcPr>
            <w:tcW w:w="2612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Πρώτη διοικητική ή δικαστική πράξη </w:t>
            </w:r>
            <w:r w:rsidRPr="004F256C">
              <w:rPr>
                <w:rFonts w:ascii="Tahoma" w:hAnsi="Tahoma" w:cs="Tahoma"/>
                <w:color w:val="000000"/>
                <w:sz w:val="18"/>
                <w:szCs w:val="18"/>
              </w:rPr>
              <w:t>διαπίστωσης»</w:t>
            </w:r>
            <w:r w:rsidRPr="0033266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50" w:type="dxa"/>
            <w:tcBorders>
              <w:left w:val="nil"/>
              <w:bottom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Pr="004F256C">
              <w:rPr>
                <w:rFonts w:ascii="Tahoma" w:hAnsi="Tahoma" w:cs="Tahoma"/>
                <w:sz w:val="20"/>
                <w:szCs w:val="20"/>
              </w:rPr>
              <w:t xml:space="preserve"> πρώτη έγγραφη εκτίμηση από αρμόδια, διοικητική ή δικαστική, αρχή που καταλήγει στο συμπέρασμα, βάσει συγκεκριμένων πραγματικών περιστατικών, ότι έχει διαπραχθεί παρατυπία, με την επιφύλαξη ενδεχόμενης μεταγενέστερης αναθεώρησης ή αναίρεσης αυτού του</w:t>
            </w:r>
            <w:r w:rsidR="00E105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256C">
              <w:rPr>
                <w:rFonts w:ascii="Tahoma" w:hAnsi="Tahoma" w:cs="Tahoma"/>
                <w:sz w:val="20"/>
                <w:szCs w:val="20"/>
              </w:rPr>
              <w:t>συμπεράσματος εξαιτίας εξελίξεων στο πλαίσιο της σχετικής διοικητικής ή δικαστικής διαδικασίας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 xml:space="preserve">[Πηγή: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Κατ’ εξουσιοδότηση 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 xml:space="preserve">κανονισμός (ΕΚ)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για την υποβολή έκθεσης παρατυπιών </w:t>
            </w:r>
            <w:r w:rsidRPr="001E7F4A">
              <w:rPr>
                <w:rFonts w:ascii="Tahoma" w:hAnsi="Tahoma" w:cs="Tahoma"/>
                <w:i/>
                <w:sz w:val="16"/>
                <w:szCs w:val="16"/>
              </w:rPr>
              <w:t>C(2015) 4539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>/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08.07.201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>5]</w:t>
            </w:r>
          </w:p>
        </w:tc>
      </w:tr>
      <w:tr w:rsidR="00C313B1" w:rsidRPr="00170101" w:rsidTr="00411DC0">
        <w:tc>
          <w:tcPr>
            <w:tcW w:w="96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411DC0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411DC0">
        <w:tc>
          <w:tcPr>
            <w:tcW w:w="2612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«Οικονομικός φορέας»:</w:t>
            </w:r>
          </w:p>
        </w:tc>
        <w:tc>
          <w:tcPr>
            <w:tcW w:w="7050" w:type="dxa"/>
            <w:tcBorders>
              <w:left w:val="nil"/>
              <w:bottom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ποιοδήποτε φυσικό ή νομικό πρόσωπο ή άλλη οντότητα που λαμβάνει </w:t>
            </w:r>
            <w:r w:rsidRPr="003B7EE2">
              <w:rPr>
                <w:rFonts w:ascii="Tahoma" w:hAnsi="Tahoma" w:cs="Tahoma"/>
                <w:sz w:val="20"/>
                <w:szCs w:val="20"/>
              </w:rPr>
              <w:t xml:space="preserve">μέρος στην εφαρμογή της βοήθειας από τα ΕΔΕΤ, με εξαίρεση </w:t>
            </w:r>
            <w:r w:rsidRPr="003B7EE2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 w:rsidRPr="003B7EE2">
              <w:rPr>
                <w:rFonts w:ascii="Tahoma" w:hAnsi="Tahoma" w:cs="Tahoma"/>
                <w:sz w:val="20"/>
                <w:szCs w:val="20"/>
              </w:rPr>
              <w:t>-</w:t>
            </w:r>
            <w:r w:rsidRPr="003B7EE2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3B7EE2">
              <w:rPr>
                <w:rFonts w:ascii="Tahoma" w:hAnsi="Tahoma" w:cs="Tahoma"/>
                <w:sz w:val="20"/>
                <w:szCs w:val="20"/>
              </w:rPr>
              <w:t xml:space="preserve"> που ασκεί τα δικαιώματά του ως Δημόσια Αρχή. </w:t>
            </w:r>
            <w:r w:rsidRPr="003B7EE2">
              <w:rPr>
                <w:rFonts w:ascii="Tahoma" w:hAnsi="Tahoma" w:cs="Tahoma"/>
                <w:i/>
                <w:sz w:val="16"/>
                <w:szCs w:val="16"/>
              </w:rPr>
              <w:t>[Πηγή: άρθρο 2 στ. (37) Καν. (ΕΕ) 1303/2013, άρθρο 3 στ. 20 Ν. 4314/2014- ΦΕΚ Α 265/23-12-2014]</w:t>
            </w:r>
          </w:p>
        </w:tc>
      </w:tr>
    </w:tbl>
    <w:p w:rsidR="00C313B1" w:rsidRPr="00170101" w:rsidRDefault="00C313B1" w:rsidP="00C313B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061"/>
      </w:tblGrid>
      <w:tr w:rsidR="00C313B1" w:rsidRPr="00170101" w:rsidTr="00411DC0"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«Συστημική παρατυπία»:</w:t>
            </w:r>
          </w:p>
        </w:tc>
        <w:tc>
          <w:tcPr>
            <w:tcW w:w="7417" w:type="dxa"/>
            <w:tcBorders>
              <w:left w:val="nil"/>
              <w:bottom w:val="nil"/>
            </w:tcBorders>
            <w:shd w:val="clear" w:color="auto" w:fill="auto"/>
          </w:tcPr>
          <w:p w:rsidR="00C313B1" w:rsidRPr="00101D35" w:rsidRDefault="00C313B1" w:rsidP="00411DC0">
            <w:pPr>
              <w:spacing w:after="120" w:line="280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αρατυπία που έχει ενδεχομένως επαναλαμβανόμενο χαρακτήρα, με μεγάλη πιθανότητα εμφάνισης σε παρεμφερή είδη πράξεων, η οποία προκύπτει από σοβαρή ανεπάρκεια στην αποτελεσματική λειτουργία των συστημάτων διαχείρισης και ελέγχου, συμπεριλαμβανομένης της παράλειψης καθορισμού </w:t>
            </w:r>
            <w:r w:rsidRPr="003B7EE2">
              <w:rPr>
                <w:rFonts w:ascii="Tahoma" w:hAnsi="Tahoma" w:cs="Tahoma"/>
                <w:sz w:val="20"/>
                <w:szCs w:val="20"/>
              </w:rPr>
              <w:t>κατάλληλων διαδικασιών, σύμφωνα με τον Κανονισμό 130/2013 και τους ειδικούς κανόνες για κάθε Ταμείο.</w:t>
            </w:r>
            <w:r w:rsidR="00D76E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3B7EE2">
              <w:rPr>
                <w:rFonts w:ascii="Tahoma" w:hAnsi="Tahoma" w:cs="Tahoma"/>
                <w:i/>
                <w:sz w:val="16"/>
                <w:szCs w:val="16"/>
              </w:rPr>
              <w:t xml:space="preserve">[Πηγή: άρθρο 2 στ. (38) Καν. (ΕΕ) 1303/2013, άρθρο 3 στ. 21 Ν. 4314/2014- </w:t>
            </w:r>
            <w:r w:rsidRPr="006476BE">
              <w:rPr>
                <w:rFonts w:ascii="Tahoma" w:hAnsi="Tahoma" w:cs="Tahoma"/>
                <w:i/>
                <w:sz w:val="16"/>
                <w:szCs w:val="16"/>
              </w:rPr>
              <w:t>ΦΕΚ Α 265/23-12-2014]</w:t>
            </w:r>
          </w:p>
        </w:tc>
      </w:tr>
      <w:tr w:rsidR="00C313B1" w:rsidRPr="00170101" w:rsidTr="00411DC0">
        <w:tc>
          <w:tcPr>
            <w:tcW w:w="1011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411DC0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313B1" w:rsidRDefault="00C313B1" w:rsidP="00C313B1">
      <w:pPr>
        <w:rPr>
          <w:rFonts w:ascii="Tahoma" w:hAnsi="Tahoma" w:cs="Tahoma"/>
          <w:sz w:val="20"/>
          <w:szCs w:val="20"/>
        </w:rPr>
      </w:pPr>
    </w:p>
    <w:p w:rsidR="00C313B1" w:rsidRDefault="00C313B1" w:rsidP="00C313B1">
      <w:r>
        <w:br w:type="page"/>
      </w:r>
    </w:p>
    <w:p w:rsidR="00C313B1" w:rsidRPr="00170101" w:rsidRDefault="00C313B1" w:rsidP="00C313B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C313B1" w:rsidRPr="00170101" w:rsidTr="00411DC0">
        <w:tc>
          <w:tcPr>
            <w:tcW w:w="9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6923"/>
            </w:tblGrid>
            <w:tr w:rsidR="00C313B1" w:rsidRPr="00170101" w:rsidTr="00411DC0">
              <w:tc>
                <w:tcPr>
                  <w:tcW w:w="25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C313B1" w:rsidRPr="00332668" w:rsidRDefault="00C313B1" w:rsidP="00411DC0">
                  <w:pPr>
                    <w:spacing w:after="120" w:line="280" w:lineRule="exac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32668">
                    <w:rPr>
                      <w:rFonts w:ascii="Tahoma" w:hAnsi="Tahoma" w:cs="Tahoma"/>
                      <w:sz w:val="20"/>
                      <w:szCs w:val="20"/>
                    </w:rPr>
                    <w:t>«Σοβαρή ανεπάρκεια στην αποτελεσματική λειτουργία ενός ΣΔΕ»:</w:t>
                  </w:r>
                </w:p>
              </w:tc>
              <w:tc>
                <w:tcPr>
                  <w:tcW w:w="7309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C313B1" w:rsidRPr="00332668" w:rsidRDefault="00C313B1" w:rsidP="00411DC0">
                  <w:pPr>
                    <w:spacing w:after="120" w:line="280" w:lineRule="exact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Γ</w:t>
                  </w:r>
                  <w:r w:rsidRPr="00332668">
                    <w:rPr>
                      <w:rFonts w:ascii="Tahoma" w:hAnsi="Tahoma" w:cs="Tahoma"/>
                      <w:sz w:val="20"/>
                      <w:szCs w:val="20"/>
                    </w:rPr>
                    <w:t xml:space="preserve">ια τους σκοπούς της εφαρμογής των Ταμείων, ανεπάρκεια για την οποία είναι απαραίτητο να υπάρξουν ουσιώδεις βελτιώσεις στο σύστημα, η οποία εκθέτει τα Ταμεία σε σημαντικό κίνδυνο παρατυπιών και η ύπαρξη της οποίας δεν συμβιβάζεται με θετική ελεγκτική γνώμη σχετικά με τη λειτουργία του </w:t>
                  </w:r>
                  <w:r w:rsidRPr="003B7EE2">
                    <w:rPr>
                      <w:rFonts w:ascii="Tahoma" w:hAnsi="Tahoma" w:cs="Tahoma"/>
                      <w:sz w:val="20"/>
                      <w:szCs w:val="20"/>
                    </w:rPr>
                    <w:t xml:space="preserve">συστήματος διαχείρισης και ελέγχου. </w:t>
                  </w:r>
                  <w:r w:rsidRPr="003B7EE2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[Πηγή: άρθρο 2 στ. (39) Καν. (ΕΕ) 1303/2013, άρθρο 3 στ. 25 Ν. 4314/2014-</w:t>
                  </w:r>
                  <w:r w:rsidRPr="006476BE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ΦΕΚ Α 265/23-12-2014]</w:t>
                  </w:r>
                </w:p>
              </w:tc>
            </w:tr>
          </w:tbl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</w:tbl>
    <w:p w:rsidR="00C313B1" w:rsidRDefault="00C313B1" w:rsidP="00C313B1"/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859"/>
      </w:tblGrid>
      <w:tr w:rsidR="00C313B1" w:rsidRPr="00170101" w:rsidTr="00411DC0">
        <w:trPr>
          <w:trHeight w:val="720"/>
        </w:trPr>
        <w:tc>
          <w:tcPr>
            <w:tcW w:w="1803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«Απάτη</w:t>
            </w:r>
            <w:r w:rsidR="007518A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32668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fraud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»:</w:t>
            </w:r>
          </w:p>
        </w:tc>
        <w:tc>
          <w:tcPr>
            <w:tcW w:w="7859" w:type="dxa"/>
            <w:tcBorders>
              <w:left w:val="nil"/>
              <w:bottom w:val="nil"/>
            </w:tcBorders>
            <w:shd w:val="clear" w:color="auto" w:fill="auto"/>
          </w:tcPr>
          <w:p w:rsidR="00C313B1" w:rsidRPr="00332668" w:rsidRDefault="00C313B1" w:rsidP="00411DC0">
            <w:pPr>
              <w:tabs>
                <w:tab w:val="num" w:pos="426"/>
              </w:tabs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Απάτη εις βάρος των οικονομικών συμφερόντων των Ευρωπαϊκών Κοινοτήτων συνιστά:</w:t>
            </w:r>
          </w:p>
          <w:p w:rsidR="00C313B1" w:rsidRPr="00332668" w:rsidRDefault="00C313B1" w:rsidP="00411DC0">
            <w:pPr>
              <w:spacing w:before="60" w:line="280" w:lineRule="exact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α) Ό</w:t>
            </w:r>
            <w:r w:rsidRPr="00332668">
              <w:rPr>
                <w:rFonts w:ascii="Tahoma" w:hAnsi="Tahoma" w:cs="Tahoma"/>
                <w:i/>
                <w:sz w:val="20"/>
                <w:szCs w:val="20"/>
              </w:rPr>
              <w:t>σον αφορά τις δαπάνες</w:t>
            </w:r>
            <w:r w:rsidRPr="00332668">
              <w:rPr>
                <w:rFonts w:ascii="Tahoma" w:hAnsi="Tahoma" w:cs="Tahoma"/>
                <w:sz w:val="20"/>
                <w:szCs w:val="20"/>
              </w:rPr>
              <w:t>, είναι κάθε εκ προθέσεως πράξη ή παράλειψη, σχετικά με: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 xml:space="preserve">τη χρήση ή την υποβολή πλαστών, ανακριβών ή ελλιπών δηλώσεων ή εγγράφων, με αποτέλεσμα την 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αχρε</w:t>
            </w:r>
            <w:r w:rsidR="00D4289B">
              <w:rPr>
                <w:rFonts w:ascii="Tahoma" w:hAnsi="Tahoma" w:cs="Tahoma"/>
                <w:sz w:val="20"/>
                <w:szCs w:val="20"/>
              </w:rPr>
              <w:t>ώστητη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 xml:space="preserve"> είσπραξη ή παρακράτηση πόρων που προέρχονται από το γενικό προϋπολογισμό των Κοινοτήτων ή από τους προϋπολογισμούς των οποίων η διαχείριση ασκείται από τις Κοινότητες ή για λογαριασμό τους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την αποσιώπηση πληροφοριών κατά παράβαση ειδικής υποχρέωσης, με τα ίδια αποτελέσματα,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 μη κατά προορισμό χρήση αυτών των πόρων, για σκοπούς άλλους από αυτούς για τους οποίους χορηγήθηκαν αρχικώς.</w:t>
            </w:r>
          </w:p>
          <w:p w:rsidR="00C313B1" w:rsidRPr="00332668" w:rsidRDefault="00C313B1" w:rsidP="00411DC0">
            <w:pPr>
              <w:spacing w:before="60" w:line="280" w:lineRule="exact"/>
              <w:ind w:left="34"/>
              <w:rPr>
                <w:rFonts w:ascii="Tahoma" w:hAnsi="Tahoma" w:cs="Tahoma"/>
                <w:i/>
                <w:sz w:val="20"/>
                <w:szCs w:val="20"/>
              </w:rPr>
            </w:pPr>
            <w:r w:rsidRPr="00332668">
              <w:rPr>
                <w:rFonts w:ascii="Tahoma" w:hAnsi="Tahoma" w:cs="Tahoma"/>
                <w:i/>
                <w:sz w:val="20"/>
                <w:szCs w:val="20"/>
              </w:rPr>
              <w:t>β)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Ό</w:t>
            </w:r>
            <w:r w:rsidRPr="00332668">
              <w:rPr>
                <w:rFonts w:ascii="Tahoma" w:hAnsi="Tahoma" w:cs="Tahoma"/>
                <w:i/>
                <w:sz w:val="20"/>
                <w:szCs w:val="20"/>
              </w:rPr>
              <w:t>σον αφορά τα έσοδα, κάθε εκ προθέσεως πράξη ή παράλειψη σχετικά με: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 χρήση ή την υποβολή πλαστών, ανακριβών ή ελλιπών δηλώσεων ή εγγράφων, με αποτέλεσμα την παράνομη μείωση των πόρων του γενικού προϋπολογισμού των Κοινοτήτων ή των προϋπολογισμών των οποίων η διαχείριση ασκείται από τις Κοινότητες ή για λογαριασμό τους,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την αποσιώπηση πληροφοριών κατά παράβαση ειδικής υποχρέωσης, με τα ίδια αποτελέσματα,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 μη κατά προορισμό χρήση ενός νόμιμα αποκτηθέντος πλεονεκτήματος με τα ίδια αποτελέσματα.</w:t>
            </w:r>
          </w:p>
        </w:tc>
      </w:tr>
      <w:tr w:rsidR="00C313B1" w:rsidRPr="00170101" w:rsidTr="00411DC0">
        <w:trPr>
          <w:trHeight w:val="1082"/>
        </w:trPr>
        <w:tc>
          <w:tcPr>
            <w:tcW w:w="96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/>
              <w:ind w:left="1877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32668">
              <w:rPr>
                <w:rFonts w:ascii="Tahoma" w:hAnsi="Tahoma" w:cs="Tahoma"/>
                <w:i/>
                <w:sz w:val="16"/>
                <w:szCs w:val="16"/>
              </w:rPr>
              <w:t xml:space="preserve">[Πηγή: </w:t>
            </w:r>
            <w:r w:rsidRPr="00332668">
              <w:rPr>
                <w:rFonts w:ascii="Tahoma" w:hAnsi="Tahoma" w:cs="Tahoma"/>
                <w:bCs/>
                <w:i/>
                <w:sz w:val="16"/>
                <w:szCs w:val="16"/>
              </w:rPr>
              <w:t>Σύμβαση η οποία καταρτίζεται βάση του άρθρου Κ.3 της συνθήκης για την Ευρωπαϊκή Ένωση, σχετικά με την προστασία των οικονομικών συμφερόντων των Ευρωπαϊκών Κοινοτήτων</w:t>
            </w:r>
            <w:r w:rsidRPr="0033266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, </w:t>
            </w:r>
            <w:r w:rsidRPr="00332668">
              <w:rPr>
                <w:rFonts w:ascii="Tahoma" w:hAnsi="Tahoma" w:cs="Tahoma"/>
                <w:i/>
                <w:iCs/>
                <w:sz w:val="16"/>
                <w:szCs w:val="16"/>
              </w:rPr>
              <w:t>Επίσημη Εφημερίδα αριθ. OJ C 316 της 27/11/1995 σ. 0049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, η οποία έχει κυρωθεί με το άρθρο πρώτο του Ν. 2803/2000 – ΦΕΚ Α 48/3-3-2000</w:t>
            </w:r>
            <w:r w:rsidRPr="00332668">
              <w:rPr>
                <w:rFonts w:ascii="Tahoma" w:hAnsi="Tahoma" w:cs="Tahoma"/>
                <w:i/>
                <w:iCs/>
                <w:sz w:val="16"/>
                <w:szCs w:val="16"/>
              </w:rPr>
              <w:t>]</w:t>
            </w:r>
          </w:p>
        </w:tc>
      </w:tr>
      <w:tr w:rsidR="007518A3" w:rsidRPr="007518A3" w:rsidTr="00411DC0">
        <w:tc>
          <w:tcPr>
            <w:tcW w:w="96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313B1" w:rsidRPr="007518A3" w:rsidRDefault="00C313B1" w:rsidP="00411DC0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7518A3">
              <w:rPr>
                <w:rFonts w:ascii="Tahoma" w:hAnsi="Tahoma" w:cs="Tahoma"/>
                <w:i/>
                <w:sz w:val="18"/>
                <w:szCs w:val="18"/>
              </w:rPr>
              <w:t xml:space="preserve">Σημειώσεις/Διευκρινήσεις: </w:t>
            </w:r>
          </w:p>
          <w:p w:rsidR="003B7EE2" w:rsidRPr="007518A3" w:rsidRDefault="00C313B1" w:rsidP="003B7EE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518A3">
              <w:rPr>
                <w:rFonts w:ascii="Tahoma" w:hAnsi="Tahoma" w:cs="Tahoma"/>
                <w:sz w:val="18"/>
                <w:szCs w:val="18"/>
              </w:rPr>
              <w:t xml:space="preserve">Στην απλουστευμένη διατύπωση για τον ορισμό της απάτης τονίζεται ο συνδυασμός τριών πτυχών: παρατυπία, πρόθεση και επιζήμιες επιπτώσεις μιας πράξης ή παράλειψης. </w:t>
            </w:r>
            <w:r w:rsidR="003B7EE2" w:rsidRPr="007518A3">
              <w:rPr>
                <w:rFonts w:ascii="Tahoma" w:hAnsi="Tahoma" w:cs="Tahoma"/>
                <w:sz w:val="18"/>
                <w:szCs w:val="18"/>
              </w:rPr>
              <w:t>Η απάτη διακρίνεται από το γενικότερο όρο «παρατυπία» από τη συνιστώσα της πρόθεσης (δόλου).</w:t>
            </w:r>
          </w:p>
          <w:p w:rsidR="00C313B1" w:rsidRPr="007518A3" w:rsidRDefault="00C313B1" w:rsidP="003B7EE2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518A3">
              <w:rPr>
                <w:rFonts w:ascii="Tahoma" w:hAnsi="Tahoma" w:cs="Tahoma"/>
                <w:sz w:val="18"/>
                <w:szCs w:val="18"/>
              </w:rPr>
              <w:t>Σημειώνεται ότι, η απάτη είναι νομικός χαρακτηρισμός μιας πράξης βάσει του ποινικού δικαίου, ο οποίος καθορίζεται από δικαστικές αρχές</w:t>
            </w:r>
            <w:r w:rsidRPr="007518A3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1"/>
            </w:r>
            <w:r w:rsidRPr="007518A3">
              <w:rPr>
                <w:rFonts w:ascii="Tahoma" w:hAnsi="Tahoma" w:cs="Tahoma"/>
                <w:sz w:val="18"/>
                <w:szCs w:val="18"/>
              </w:rPr>
              <w:t>. Άρα, οι Δομές που έχουν οριστεί στο πλαίσιο του ΣΔΕ δεν μπορούν να χαρακτηρίσουν μία πράξη με τα παραπάνω στοιχεία ως «απάτη». Ωστόσο, μπορούν να ανιχνεύσουν πραγματικά περιστατικά ή λίαν ύποπτες περιστάσεις που υποδηλώνουν την ύπαρξη παρατυπιών και, κατ’ επέκταση, πιθανής απάτης.</w:t>
            </w:r>
          </w:p>
        </w:tc>
      </w:tr>
    </w:tbl>
    <w:p w:rsidR="00C313B1" w:rsidRDefault="00C313B1" w:rsidP="00C313B1"/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631"/>
      </w:tblGrid>
      <w:tr w:rsidR="00C313B1" w:rsidRPr="00170101" w:rsidTr="00411DC0">
        <w:tc>
          <w:tcPr>
            <w:tcW w:w="2645" w:type="dxa"/>
            <w:tcBorders>
              <w:bottom w:val="nil"/>
              <w:right w:val="nil"/>
            </w:tcBorders>
            <w:shd w:val="clear" w:color="auto" w:fill="auto"/>
          </w:tcPr>
          <w:p w:rsidR="00C313B1" w:rsidRPr="00A237D8" w:rsidRDefault="00C313B1" w:rsidP="00411DC0">
            <w:pPr>
              <w:spacing w:after="120" w:line="280" w:lineRule="exact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37D8">
              <w:rPr>
                <w:rFonts w:ascii="Tahoma" w:hAnsi="Tahoma" w:cs="Tahoma"/>
                <w:sz w:val="20"/>
                <w:szCs w:val="20"/>
              </w:rPr>
              <w:lastRenderedPageBreak/>
              <w:t>«Υπόνοια απάτης-</w:t>
            </w:r>
            <w:r w:rsidRPr="00A237D8">
              <w:rPr>
                <w:rFonts w:ascii="Tahoma" w:hAnsi="Tahoma" w:cs="Tahoma"/>
                <w:sz w:val="20"/>
                <w:szCs w:val="20"/>
                <w:lang w:val="en-US"/>
              </w:rPr>
              <w:t>suspected fraud</w:t>
            </w:r>
            <w:r w:rsidRPr="00A237D8">
              <w:rPr>
                <w:rFonts w:ascii="Tahoma" w:hAnsi="Tahoma" w:cs="Tahoma"/>
                <w:sz w:val="20"/>
                <w:szCs w:val="20"/>
              </w:rPr>
              <w:t>»:</w:t>
            </w:r>
          </w:p>
        </w:tc>
        <w:tc>
          <w:tcPr>
            <w:tcW w:w="6631" w:type="dxa"/>
            <w:tcBorders>
              <w:left w:val="nil"/>
              <w:bottom w:val="nil"/>
            </w:tcBorders>
            <w:shd w:val="clear" w:color="auto" w:fill="auto"/>
          </w:tcPr>
          <w:p w:rsidR="00C313B1" w:rsidRPr="00A237D8" w:rsidRDefault="00C313B1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 w:rsidRPr="00A237D8">
              <w:rPr>
                <w:rFonts w:ascii="Tahoma" w:hAnsi="Tahoma" w:cs="Tahoma"/>
                <w:sz w:val="20"/>
                <w:szCs w:val="20"/>
              </w:rPr>
              <w:t xml:space="preserve">Κάθε παρατυπία που οδηγεί στην κίνηση διοικητικής ή δικαστικής διαδικασίας σε εθνικό επίπεδο, ώστε να καθοριστεί </w:t>
            </w:r>
            <w:r w:rsidRPr="007518A3">
              <w:rPr>
                <w:rFonts w:ascii="Tahoma" w:hAnsi="Tahoma" w:cs="Tahoma"/>
                <w:sz w:val="20"/>
                <w:szCs w:val="20"/>
              </w:rPr>
              <w:t xml:space="preserve">η ύπαρξη </w:t>
            </w:r>
            <w:bookmarkStart w:id="2" w:name="OLE_LINK1"/>
            <w:bookmarkStart w:id="3" w:name="OLE_LINK2"/>
            <w:r w:rsidRPr="007518A3">
              <w:rPr>
                <w:rFonts w:ascii="Tahoma" w:hAnsi="Tahoma" w:cs="Tahoma"/>
                <w:sz w:val="20"/>
                <w:szCs w:val="20"/>
              </w:rPr>
              <w:t xml:space="preserve">συμπεριφοράς </w:t>
            </w:r>
            <w:r w:rsidR="003B7EE2" w:rsidRPr="007518A3">
              <w:rPr>
                <w:rFonts w:ascii="Tahoma" w:hAnsi="Tahoma" w:cs="Tahoma"/>
                <w:sz w:val="20"/>
                <w:szCs w:val="20"/>
              </w:rPr>
              <w:t>εκ προθέσεως (δόλου)</w:t>
            </w:r>
            <w:bookmarkEnd w:id="2"/>
            <w:bookmarkEnd w:id="3"/>
            <w:r w:rsidR="007518A3" w:rsidRPr="007518A3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 </w:t>
            </w:r>
            <w:r w:rsidRPr="00A237D8">
              <w:rPr>
                <w:rFonts w:ascii="Tahoma" w:hAnsi="Tahoma" w:cs="Tahoma"/>
                <w:sz w:val="20"/>
                <w:szCs w:val="20"/>
              </w:rPr>
              <w:t>και ιδίως απάτης, όπως ορίζεται στο άρθρο 1 παράγραφος 1 στοιχείο α) της σύμβασης σχετικά με την προστασία των οικονομικών συμφερόντων των Ευρωπαϊκών Κοινοτήτων, η οποία θεσπίστηκε δυνάμει του άρθρου Κ.3 της συνθήκης για την Ευρωπαϊκή Ένωση</w:t>
            </w:r>
            <w:r w:rsidRPr="00A237D8">
              <w:rPr>
                <w:rFonts w:ascii="Tahoma" w:hAnsi="Tahoma" w:cs="Tahoma"/>
                <w:i/>
                <w:sz w:val="16"/>
                <w:szCs w:val="16"/>
              </w:rPr>
              <w:t xml:space="preserve"> [Πηγή: Κατ’ εξουσιοδότηση κανονισμός (ΕΚ) για την υποβολή έκθεσης παρατυπιών C(2015) 4539/ 08.07.2015]</w:t>
            </w:r>
          </w:p>
        </w:tc>
      </w:tr>
      <w:tr w:rsidR="00C313B1" w:rsidRPr="00170101" w:rsidTr="00411DC0">
        <w:tc>
          <w:tcPr>
            <w:tcW w:w="927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13B1" w:rsidRPr="00A237D8" w:rsidRDefault="00C313B1" w:rsidP="00411DC0">
            <w:pPr>
              <w:tabs>
                <w:tab w:val="num" w:pos="720"/>
              </w:tabs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A237D8">
              <w:rPr>
                <w:rFonts w:ascii="Tahoma" w:hAnsi="Tahoma" w:cs="Tahoma"/>
                <w:i/>
                <w:sz w:val="18"/>
                <w:szCs w:val="18"/>
              </w:rPr>
              <w:t xml:space="preserve">Σημειώσεις/Διευκρινήσεις: </w:t>
            </w:r>
          </w:p>
          <w:p w:rsidR="00C313B1" w:rsidRPr="00A237D8" w:rsidRDefault="00C313B1" w:rsidP="008B182A">
            <w:pPr>
              <w:tabs>
                <w:tab w:val="num" w:pos="720"/>
              </w:tabs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A237D8">
              <w:rPr>
                <w:rFonts w:ascii="Tahoma" w:hAnsi="Tahoma" w:cs="Tahoma"/>
                <w:sz w:val="18"/>
                <w:szCs w:val="18"/>
              </w:rPr>
              <w:t>Κάθε περίπτωση που κρίνεται ότι συνιστά «υπόνοια απάτης», πρέπει να προωθηθεί στη Γενική Γραμματεία για την Καταπολέμηση της Διαφθοράς, η οποία αποτελεί την Υπηρεσία που έχει αναλάβει τον εθνικό συντονισμό για θέματα απάτης στην Ελλάδα (AFCOS</w:t>
            </w:r>
            <w:r w:rsidRPr="007518A3">
              <w:rPr>
                <w:rFonts w:ascii="Tahoma" w:hAnsi="Tahoma" w:cs="Tahoma"/>
                <w:sz w:val="18"/>
                <w:szCs w:val="18"/>
              </w:rPr>
              <w:t>), σύμφωνα με τον Ν. 4320/2015. Το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37D8">
              <w:rPr>
                <w:rFonts w:ascii="Tahoma" w:hAnsi="Tahoma" w:cs="Tahoma"/>
                <w:sz w:val="18"/>
                <w:szCs w:val="18"/>
                <w:lang w:val="en-US"/>
              </w:rPr>
              <w:t>AFCOS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 προωθεί την υπόθεση στις αρμόδιες ελεγκτικές ή δικαστικές αρχές, ανάλογα με την περίπτωση, ώστε να ερευνηθεί και να καθοριστεί η ύπαρξη </w:t>
            </w:r>
            <w:r w:rsidR="008B182A" w:rsidRPr="00A237D8">
              <w:rPr>
                <w:rFonts w:ascii="Tahoma" w:hAnsi="Tahoma" w:cs="Tahoma"/>
                <w:sz w:val="18"/>
                <w:szCs w:val="18"/>
              </w:rPr>
              <w:t xml:space="preserve">συμπεριφοράς εκ </w:t>
            </w:r>
            <w:r w:rsidRPr="00A237D8">
              <w:rPr>
                <w:rFonts w:ascii="Tahoma" w:hAnsi="Tahoma" w:cs="Tahoma"/>
                <w:sz w:val="18"/>
                <w:szCs w:val="18"/>
              </w:rPr>
              <w:t>πρ</w:t>
            </w:r>
            <w:r w:rsidR="008B182A" w:rsidRPr="00A237D8">
              <w:rPr>
                <w:rFonts w:ascii="Tahoma" w:hAnsi="Tahoma" w:cs="Tahoma"/>
                <w:sz w:val="18"/>
                <w:szCs w:val="18"/>
              </w:rPr>
              <w:t>οθέσεως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, και ιδίως απάτης. Επίσης, η «υπόνοια απάτης» αναφέρεται στην </w:t>
            </w:r>
            <w:r w:rsidRPr="00A237D8">
              <w:rPr>
                <w:rFonts w:ascii="Tahoma" w:hAnsi="Tahoma" w:cs="Tahoma"/>
                <w:sz w:val="18"/>
                <w:szCs w:val="18"/>
                <w:lang w:val="en-US"/>
              </w:rPr>
              <w:t>EE</w:t>
            </w:r>
            <w:r w:rsidRPr="00A237D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313B1" w:rsidRPr="00170101" w:rsidTr="00411DC0">
        <w:tc>
          <w:tcPr>
            <w:tcW w:w="9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411DC0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411DC0">
        <w:trPr>
          <w:trHeight w:val="650"/>
        </w:trPr>
        <w:tc>
          <w:tcPr>
            <w:tcW w:w="2645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«Ένδειξη απάτης»:</w:t>
            </w:r>
          </w:p>
        </w:tc>
        <w:tc>
          <w:tcPr>
            <w:tcW w:w="6631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C313B1" w:rsidRPr="00332668" w:rsidRDefault="00C313B1" w:rsidP="00411DC0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Υποψία ότι μία παρατυπία ενέχει δόλο</w:t>
            </w:r>
          </w:p>
        </w:tc>
      </w:tr>
      <w:tr w:rsidR="00C313B1" w:rsidRPr="00170101" w:rsidTr="00411DC0">
        <w:tc>
          <w:tcPr>
            <w:tcW w:w="927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411DC0">
            <w:pPr>
              <w:tabs>
                <w:tab w:val="num" w:pos="720"/>
              </w:tabs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332668">
              <w:rPr>
                <w:rFonts w:ascii="Tahoma" w:hAnsi="Tahoma" w:cs="Tahoma"/>
                <w:i/>
                <w:sz w:val="18"/>
                <w:szCs w:val="18"/>
              </w:rPr>
              <w:t xml:space="preserve">Σημειώσεις/Διευκρινήσεις: </w:t>
            </w:r>
          </w:p>
          <w:p w:rsidR="00C313B1" w:rsidRPr="00332668" w:rsidRDefault="00C313B1" w:rsidP="00411DC0">
            <w:pPr>
              <w:tabs>
                <w:tab w:val="num" w:pos="720"/>
              </w:tabs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 xml:space="preserve">Ο όρος αυτός εισάγεται στο παρόν ΣΔΕ, προκειμένου να διαχωριστεί από τον όρο «υπόνοια απάτης». Η «ένδειξη απάτης» χαρακτηρίζει την υποψία ότι μία παρατυπία ενέχει δόλο. Όταν αυτή η υποψία, μετά από εξέταση/ διερεύνηση, κριθεί βάσιμη, τότε συνιστά «υπόνοια απάτης» (οπότε και πρέπει να προωθηθεί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στο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AFCOS</w:t>
            </w:r>
            <w:r w:rsidRPr="00332668">
              <w:rPr>
                <w:rFonts w:ascii="Tahoma" w:hAnsi="Tahoma" w:cs="Tahoma"/>
                <w:sz w:val="18"/>
                <w:szCs w:val="18"/>
              </w:rPr>
              <w:t xml:space="preserve"> και να </w:t>
            </w:r>
            <w:r w:rsidRPr="00DA16B8">
              <w:rPr>
                <w:rFonts w:ascii="Tahoma" w:hAnsi="Tahoma" w:cs="Tahoma"/>
                <w:sz w:val="18"/>
                <w:szCs w:val="18"/>
              </w:rPr>
              <w:t xml:space="preserve">αναφερθεί στην </w:t>
            </w:r>
            <w:r w:rsidRPr="00DA16B8">
              <w:rPr>
                <w:rFonts w:ascii="Tahoma" w:hAnsi="Tahoma" w:cs="Tahoma"/>
                <w:sz w:val="18"/>
                <w:szCs w:val="18"/>
                <w:lang w:val="en-US"/>
              </w:rPr>
              <w:t>EE</w:t>
            </w:r>
            <w:r w:rsidRPr="00DA16B8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C313B1" w:rsidRPr="00332668" w:rsidRDefault="00C313B1" w:rsidP="00F076B9">
            <w:pPr>
              <w:tabs>
                <w:tab w:val="num" w:pos="720"/>
              </w:tabs>
              <w:spacing w:before="6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 xml:space="preserve">Όταν, για παράδειγμα, μία Διαχειριστική Αρχή εντοπίσει μια παρατυπία που κατά την κρίση της αποτελεί ενδεχόμενη απάτη, πρέπει να προβεί η ίδια σε μια εξέταση/ διερεύνηση του θέματος και εφόσον κρίνει ότι η ένδειξη απάτης </w:t>
            </w:r>
            <w:r w:rsidRPr="00A237D8">
              <w:rPr>
                <w:rFonts w:ascii="Tahoma" w:hAnsi="Tahoma" w:cs="Tahoma"/>
                <w:sz w:val="18"/>
                <w:szCs w:val="18"/>
              </w:rPr>
              <w:t>είναι ισχυρή, θα πρέπει να ξεκινήσει μια διοικητική ή δικαστική διαδικασία σε εθνικό επίπεδο. Όταν δοθεί το έναυσμα για να ξεκινήσει</w:t>
            </w:r>
            <w:r w:rsidRPr="00332668">
              <w:rPr>
                <w:rFonts w:ascii="Tahoma" w:hAnsi="Tahoma" w:cs="Tahoma"/>
                <w:sz w:val="18"/>
                <w:szCs w:val="18"/>
              </w:rPr>
              <w:t xml:space="preserve"> η διαδικασία αυτή, τότε η ένδειξη συνιστά «υπόνοια απάτης». Κατά το προηγούμενο στάδιο, που υπάρχει απλά μια υποψία και δεν έχει συνταχθεί μια επιστολή για να ξεκινήσει μια επίσημη διαδικασία σε εθνικό επίπεδο (διοικητική ή δικαστική), δεν μιλάμε ακόμα για «υπόνοια απάτης», αλλά για «ένδειξη».</w:t>
            </w:r>
          </w:p>
        </w:tc>
      </w:tr>
      <w:tr w:rsidR="00C313B1" w:rsidRPr="00170101" w:rsidTr="00411DC0">
        <w:tc>
          <w:tcPr>
            <w:tcW w:w="9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411DC0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411DC0">
        <w:trPr>
          <w:trHeight w:val="2323"/>
        </w:trPr>
        <w:tc>
          <w:tcPr>
            <w:tcW w:w="2645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411DC0">
            <w:pPr>
              <w:tabs>
                <w:tab w:val="num" w:pos="720"/>
              </w:tabs>
              <w:spacing w:after="120" w:line="2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«Κόκκινη σημαία»                     (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red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flag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6631" w:type="dxa"/>
            <w:tcBorders>
              <w:left w:val="nil"/>
              <w:bottom w:val="nil"/>
            </w:tcBorders>
            <w:shd w:val="clear" w:color="auto" w:fill="auto"/>
          </w:tcPr>
          <w:p w:rsidR="00C313B1" w:rsidRPr="00332668" w:rsidRDefault="00C313B1" w:rsidP="00255746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 xml:space="preserve">Η κόκκινη σημαία (σήμα συναγερμού) είναι δείκτης/ προειδοποιητικό σήμα πιθανής απάτης ή κρούσματος διαφθοράς. Αποτελεί στοιχείο ή σύνολο στοιχείων, τα οποία δεν είναι συνήθη από τη φύση τους ή αποκλίνουν από τη συνήθη δραστηριότητα. Πρόκειται για ένδειξη παρέκκλισης από το σύνηθες και απαιτεί ενδεχομένως περαιτέρω διερεύνηση. 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>[Πηγή: Εντοπισμός πλαστών εγγράφων στον τομέα των διαρθρωτικών ενεργειών - Πρακτικός οδηγός για τις ΔΑ, OLAF 2013]</w:t>
            </w:r>
          </w:p>
        </w:tc>
      </w:tr>
      <w:tr w:rsidR="00C313B1" w:rsidRPr="00170101" w:rsidTr="00411DC0">
        <w:tc>
          <w:tcPr>
            <w:tcW w:w="927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411DC0">
            <w:pPr>
              <w:tabs>
                <w:tab w:val="num" w:pos="720"/>
              </w:tabs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i/>
                <w:sz w:val="18"/>
                <w:szCs w:val="18"/>
              </w:rPr>
              <w:t xml:space="preserve">Σημειώσεις/Διευκρινήσεις: </w:t>
            </w:r>
            <w:r w:rsidRPr="00332668">
              <w:rPr>
                <w:rFonts w:ascii="Tahoma" w:hAnsi="Tahoma" w:cs="Tahoma"/>
                <w:sz w:val="18"/>
                <w:szCs w:val="18"/>
              </w:rPr>
              <w:t>Οι κόκκινες σημαίες:</w:t>
            </w:r>
          </w:p>
          <w:p w:rsidR="00C313B1" w:rsidRPr="00332668" w:rsidRDefault="00C313B1" w:rsidP="00C313B1">
            <w:pPr>
              <w:pStyle w:val="ListParagraph"/>
              <w:numPr>
                <w:ilvl w:val="0"/>
                <w:numId w:val="3"/>
              </w:numPr>
              <w:tabs>
                <w:tab w:val="num" w:pos="460"/>
              </w:tabs>
              <w:spacing w:before="60" w:after="60"/>
              <w:ind w:left="460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 xml:space="preserve">δεν αποτελούν </w:t>
            </w:r>
            <w:r w:rsidRPr="00332668">
              <w:rPr>
                <w:rFonts w:ascii="Tahoma" w:hAnsi="Tahoma" w:cs="Tahoma"/>
                <w:b/>
                <w:sz w:val="18"/>
                <w:szCs w:val="18"/>
              </w:rPr>
              <w:t>απόδειξη</w:t>
            </w:r>
            <w:r w:rsidRPr="00332668">
              <w:rPr>
                <w:rFonts w:ascii="Tahoma" w:hAnsi="Tahoma" w:cs="Tahoma"/>
                <w:sz w:val="18"/>
                <w:szCs w:val="18"/>
              </w:rPr>
              <w:t xml:space="preserve"> για την ύπαρξη πιθανής απάτης</w:t>
            </w:r>
          </w:p>
          <w:p w:rsidR="00C313B1" w:rsidRPr="00332668" w:rsidRDefault="00C313B1" w:rsidP="00C313B1">
            <w:pPr>
              <w:pStyle w:val="ListParagraph"/>
              <w:numPr>
                <w:ilvl w:val="0"/>
                <w:numId w:val="3"/>
              </w:numPr>
              <w:tabs>
                <w:tab w:val="num" w:pos="460"/>
              </w:tabs>
              <w:spacing w:before="60" w:after="60"/>
              <w:ind w:left="460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>αποτελούν στοιχείο για την ανίχνευση πιθανής απάτης, καθώς προειδοποιούν ή εφιστούν την προσοχή ότι μία δραστηριότητα ενδεχομένως κρύβει μία δόλια συμπεριφορά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οδηγούν σε υποψία</w:t>
            </w:r>
            <w:r w:rsidRPr="00332668">
              <w:rPr>
                <w:rFonts w:ascii="Tahoma" w:hAnsi="Tahoma" w:cs="Tahoma"/>
                <w:b/>
                <w:sz w:val="18"/>
                <w:szCs w:val="18"/>
              </w:rPr>
              <w:t>-«ένδειξη απάτης</w:t>
            </w:r>
            <w:r w:rsidRPr="00332668">
              <w:rPr>
                <w:rFonts w:ascii="Tahoma" w:hAnsi="Tahoma" w:cs="Tahoma"/>
                <w:sz w:val="18"/>
                <w:szCs w:val="18"/>
              </w:rPr>
              <w:t>»)</w:t>
            </w:r>
          </w:p>
          <w:p w:rsidR="00C313B1" w:rsidRPr="00332668" w:rsidRDefault="00C313B1" w:rsidP="00C313B1">
            <w:pPr>
              <w:pStyle w:val="ListParagraph"/>
              <w:numPr>
                <w:ilvl w:val="0"/>
                <w:numId w:val="3"/>
              </w:numPr>
              <w:tabs>
                <w:tab w:val="num" w:pos="460"/>
              </w:tabs>
              <w:spacing w:before="60" w:after="60"/>
              <w:ind w:left="460" w:hanging="284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>κρίνονται κατά περίπτωση και υπό το πρίσμα των πραγματικών περιστατικών της υπόθεσης</w:t>
            </w:r>
            <w:r w:rsidR="007518A3" w:rsidRPr="007518A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313B1" w:rsidRPr="00A63C05" w:rsidRDefault="00C313B1" w:rsidP="00C313B1">
      <w:pPr>
        <w:spacing w:before="0"/>
        <w:rPr>
          <w:rFonts w:ascii="Tahoma" w:hAnsi="Tahoma" w:cs="Tahoma"/>
          <w:b/>
          <w:color w:val="1F497D"/>
          <w:sz w:val="20"/>
          <w:szCs w:val="20"/>
        </w:rPr>
      </w:pPr>
    </w:p>
    <w:p w:rsidR="00CD0B2A" w:rsidRDefault="00D76E07"/>
    <w:sectPr w:rsidR="00CD0B2A" w:rsidSect="00F662C3">
      <w:footerReference w:type="default" r:id="rId8"/>
      <w:pgSz w:w="11906" w:h="16838"/>
      <w:pgMar w:top="1021" w:right="1247" w:bottom="1843" w:left="124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37" w:rsidRDefault="004E6537" w:rsidP="00C313B1">
      <w:pPr>
        <w:spacing w:before="0"/>
      </w:pPr>
      <w:r>
        <w:separator/>
      </w:r>
    </w:p>
  </w:endnote>
  <w:endnote w:type="continuationSeparator" w:id="0">
    <w:p w:rsidR="004E6537" w:rsidRDefault="004E6537" w:rsidP="00C313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8C156D" w:rsidRPr="00E51E09" w:rsidTr="007B5956">
      <w:trPr>
        <w:jc w:val="center"/>
      </w:trPr>
      <w:tc>
        <w:tcPr>
          <w:tcW w:w="3383" w:type="dxa"/>
          <w:shd w:val="clear" w:color="auto" w:fill="auto"/>
        </w:tcPr>
        <w:p w:rsidR="008C156D" w:rsidRPr="008607BA" w:rsidRDefault="00AC5018" w:rsidP="007B5956">
          <w:pPr>
            <w:spacing w:before="60"/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8607BA">
            <w:rPr>
              <w:rFonts w:ascii="Tahoma" w:hAnsi="Tahoma" w:cs="Tahoma"/>
              <w:bCs/>
              <w:sz w:val="16"/>
              <w:szCs w:val="16"/>
            </w:rPr>
            <w:t>Οδηγία: O.VIII.2_1</w:t>
          </w:r>
        </w:p>
        <w:p w:rsidR="008C156D" w:rsidRPr="00E51E09" w:rsidRDefault="00AC5018" w:rsidP="007B5956">
          <w:pPr>
            <w:spacing w:before="0"/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E51E09">
            <w:rPr>
              <w:rFonts w:ascii="Tahoma" w:hAnsi="Tahoma" w:cs="Tahoma"/>
              <w:bCs/>
              <w:sz w:val="16"/>
              <w:szCs w:val="16"/>
            </w:rPr>
            <w:t>Έκδοση:</w:t>
          </w:r>
          <w:r w:rsidR="007518A3" w:rsidRPr="007518A3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E51E09">
            <w:rPr>
              <w:rFonts w:ascii="Tahoma" w:hAnsi="Tahoma" w:cs="Tahoma"/>
              <w:bCs/>
              <w:sz w:val="16"/>
              <w:szCs w:val="16"/>
            </w:rPr>
            <w:t>1</w:t>
          </w:r>
          <w:r w:rsidRPr="00E51E09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8C156D" w:rsidRPr="008A7788" w:rsidRDefault="00AC5018" w:rsidP="00327168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  <w:proofErr w:type="spellStart"/>
          <w:r w:rsidRPr="00E51E09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E51E09"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="00327168" w:rsidRPr="007518A3">
            <w:rPr>
              <w:rFonts w:ascii="Tahoma" w:hAnsi="Tahoma" w:cs="Tahoma"/>
              <w:bCs/>
              <w:sz w:val="16"/>
              <w:szCs w:val="16"/>
            </w:rPr>
            <w:t>30</w:t>
          </w:r>
          <w:r w:rsidRPr="008A7788">
            <w:rPr>
              <w:rFonts w:ascii="Tahoma" w:hAnsi="Tahoma" w:cs="Tahoma"/>
              <w:bCs/>
              <w:sz w:val="16"/>
              <w:szCs w:val="16"/>
            </w:rPr>
            <w:t>.</w:t>
          </w:r>
          <w:r w:rsidR="00327168" w:rsidRPr="007518A3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8A7788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2850" w:type="dxa"/>
          <w:shd w:val="clear" w:color="auto" w:fill="auto"/>
          <w:vAlign w:val="center"/>
        </w:tcPr>
        <w:p w:rsidR="008C156D" w:rsidRPr="00E51E09" w:rsidRDefault="00AC5018" w:rsidP="007B5956">
          <w:pPr>
            <w:spacing w:before="0"/>
            <w:rPr>
              <w:rFonts w:ascii="Tahoma" w:hAnsi="Tahoma" w:cs="Tahoma"/>
              <w:bCs/>
              <w:sz w:val="16"/>
              <w:szCs w:val="16"/>
            </w:rPr>
          </w:pPr>
          <w:r w:rsidRPr="00E51E09">
            <w:rPr>
              <w:rFonts w:ascii="Tahoma" w:hAnsi="Tahoma" w:cs="Tahoma"/>
              <w:bCs/>
              <w:sz w:val="16"/>
              <w:szCs w:val="16"/>
            </w:rPr>
            <w:t xml:space="preserve">                - </w:t>
          </w:r>
          <w:r w:rsidR="009A32D0" w:rsidRPr="00E51E09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E51E09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="009A32D0" w:rsidRPr="00E51E09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76E07">
            <w:rPr>
              <w:rFonts w:ascii="Tahoma" w:hAnsi="Tahoma" w:cs="Tahoma"/>
              <w:bCs/>
              <w:noProof/>
              <w:sz w:val="16"/>
              <w:szCs w:val="16"/>
            </w:rPr>
            <w:t>3</w:t>
          </w:r>
          <w:r w:rsidR="009A32D0" w:rsidRPr="00E51E09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E51E09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:rsidR="008C156D" w:rsidRPr="00E51E09" w:rsidRDefault="00C313B1" w:rsidP="008607BA">
          <w:pPr>
            <w:jc w:val="right"/>
            <w:rPr>
              <w:rFonts w:ascii="Tahoma" w:hAnsi="Tahoma" w:cs="Tahoma"/>
              <w:bCs/>
              <w:szCs w:val="20"/>
            </w:rPr>
          </w:pPr>
          <w:r w:rsidRPr="00A63C05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95D7993" wp14:editId="220DC65C">
                <wp:extent cx="780415" cy="460117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46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156D" w:rsidRPr="00E51E09" w:rsidRDefault="00D76E07" w:rsidP="00654A18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37" w:rsidRDefault="004E6537" w:rsidP="00C313B1">
      <w:pPr>
        <w:spacing w:before="0"/>
      </w:pPr>
      <w:r>
        <w:separator/>
      </w:r>
    </w:p>
  </w:footnote>
  <w:footnote w:type="continuationSeparator" w:id="0">
    <w:p w:rsidR="004E6537" w:rsidRDefault="004E6537" w:rsidP="00C313B1">
      <w:pPr>
        <w:spacing w:before="0"/>
      </w:pPr>
      <w:r>
        <w:continuationSeparator/>
      </w:r>
    </w:p>
  </w:footnote>
  <w:footnote w:id="1">
    <w:p w:rsidR="00C313B1" w:rsidRDefault="00C313B1" w:rsidP="00C313B1">
      <w:pPr>
        <w:ind w:left="284" w:hanging="284"/>
        <w:rPr>
          <w:rFonts w:ascii="Tahoma" w:hAnsi="Tahoma" w:cs="Tahoma"/>
          <w:sz w:val="16"/>
          <w:szCs w:val="16"/>
        </w:rPr>
      </w:pPr>
      <w:r w:rsidRPr="00FD767F">
        <w:rPr>
          <w:rStyle w:val="FootnoteReference"/>
          <w:rFonts w:ascii="Tahoma" w:hAnsi="Tahoma" w:cs="Tahoma"/>
          <w:sz w:val="16"/>
          <w:szCs w:val="16"/>
        </w:rPr>
        <w:footnoteRef/>
      </w:r>
      <w:r w:rsidRPr="00F0318D">
        <w:rPr>
          <w:rFonts w:ascii="Tahoma" w:hAnsi="Tahoma" w:cs="Tahoma"/>
          <w:sz w:val="16"/>
          <w:szCs w:val="16"/>
        </w:rPr>
        <w:tab/>
        <w:t xml:space="preserve">[Πηγή: υποσημείωση 30, Ανακοίνωση της Επιτροπής προς το Ευρωπαϊκό </w:t>
      </w:r>
      <w:r w:rsidRPr="00F0318D">
        <w:rPr>
          <w:rFonts w:ascii="Tahoma" w:hAnsi="Tahoma" w:cs="Tahoma"/>
          <w:sz w:val="16"/>
          <w:szCs w:val="16"/>
          <w:lang w:val="en-US"/>
        </w:rPr>
        <w:t>K</w:t>
      </w:r>
      <w:proofErr w:type="spellStart"/>
      <w:r w:rsidRPr="00F0318D">
        <w:rPr>
          <w:rFonts w:ascii="Tahoma" w:hAnsi="Tahoma" w:cs="Tahoma"/>
          <w:sz w:val="16"/>
          <w:szCs w:val="16"/>
        </w:rPr>
        <w:t>οινοβούλιο</w:t>
      </w:r>
      <w:proofErr w:type="spellEnd"/>
      <w:r w:rsidRPr="00F0318D">
        <w:rPr>
          <w:rFonts w:ascii="Tahoma" w:hAnsi="Tahoma" w:cs="Tahoma"/>
          <w:sz w:val="16"/>
          <w:szCs w:val="16"/>
        </w:rPr>
        <w:t xml:space="preserve">, το Συμβούλιο, την </w:t>
      </w:r>
      <w:r w:rsidRPr="00F0318D">
        <w:rPr>
          <w:rFonts w:ascii="Tahoma" w:hAnsi="Tahoma" w:cs="Tahoma"/>
          <w:sz w:val="16"/>
          <w:szCs w:val="16"/>
          <w:lang w:val="en-US"/>
        </w:rPr>
        <w:t>E</w:t>
      </w:r>
      <w:proofErr w:type="spellStart"/>
      <w:r w:rsidRPr="00F0318D">
        <w:rPr>
          <w:rFonts w:ascii="Tahoma" w:hAnsi="Tahoma" w:cs="Tahoma"/>
          <w:sz w:val="16"/>
          <w:szCs w:val="16"/>
        </w:rPr>
        <w:t>υρωπαϊκή</w:t>
      </w:r>
      <w:proofErr w:type="spellEnd"/>
      <w:r w:rsidRPr="00F0318D">
        <w:rPr>
          <w:rFonts w:ascii="Tahoma" w:hAnsi="Tahoma" w:cs="Tahoma"/>
          <w:sz w:val="16"/>
          <w:szCs w:val="16"/>
        </w:rPr>
        <w:t xml:space="preserve"> </w:t>
      </w:r>
      <w:r w:rsidRPr="00F0318D">
        <w:rPr>
          <w:rFonts w:ascii="Tahoma" w:hAnsi="Tahoma" w:cs="Tahoma"/>
          <w:sz w:val="16"/>
          <w:szCs w:val="16"/>
          <w:lang w:val="en-US"/>
        </w:rPr>
        <w:t>O</w:t>
      </w:r>
      <w:proofErr w:type="spellStart"/>
      <w:r w:rsidRPr="00F0318D">
        <w:rPr>
          <w:rFonts w:ascii="Tahoma" w:hAnsi="Tahoma" w:cs="Tahoma"/>
          <w:sz w:val="16"/>
          <w:szCs w:val="16"/>
        </w:rPr>
        <w:t>ικονομική</w:t>
      </w:r>
      <w:proofErr w:type="spellEnd"/>
      <w:r w:rsidRPr="00F0318D">
        <w:rPr>
          <w:rFonts w:ascii="Tahoma" w:hAnsi="Tahoma" w:cs="Tahoma"/>
          <w:sz w:val="16"/>
          <w:szCs w:val="16"/>
        </w:rPr>
        <w:t xml:space="preserve"> και </w:t>
      </w:r>
      <w:r w:rsidR="00744C76">
        <w:rPr>
          <w:rFonts w:ascii="Tahoma" w:hAnsi="Tahoma" w:cs="Tahoma"/>
          <w:sz w:val="16"/>
          <w:szCs w:val="16"/>
        </w:rPr>
        <w:t>Κ</w:t>
      </w:r>
      <w:r w:rsidRPr="00F0318D">
        <w:rPr>
          <w:rFonts w:ascii="Tahoma" w:hAnsi="Tahoma" w:cs="Tahoma"/>
          <w:sz w:val="16"/>
          <w:szCs w:val="16"/>
        </w:rPr>
        <w:t>οινωνική Επιτροπή, την Επιτροπή των Περιφερειών και το Ελεγκτικό Συνέδριο σχετικά με τη Στρατηγική της Επιτροπής για την Καταπολέμηση της Απάτης COM(2011) 376 τελικό, 24.6.2011].</w:t>
      </w:r>
    </w:p>
    <w:p w:rsidR="00C313B1" w:rsidRPr="00FD767F" w:rsidRDefault="00C313B1" w:rsidP="00C313B1">
      <w:pPr>
        <w:ind w:left="284" w:hanging="284"/>
        <w:rPr>
          <w:rFonts w:ascii="Tahoma" w:hAnsi="Tahoma" w:cs="Tahom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67E"/>
    <w:multiLevelType w:val="hybridMultilevel"/>
    <w:tmpl w:val="FB022C20"/>
    <w:lvl w:ilvl="0" w:tplc="44BA001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5380"/>
    <w:multiLevelType w:val="multilevel"/>
    <w:tmpl w:val="F692DFD4"/>
    <w:lvl w:ilvl="0">
      <w:start w:val="1"/>
      <w:numFmt w:val="upperRoman"/>
      <w:pStyle w:val="Heading1"/>
      <w:lvlText w:val="Λειτουργική Περιοχή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Διαδικασία Δ%1_%2: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Διαδικασία Δ%1_%2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50D1267"/>
    <w:multiLevelType w:val="hybridMultilevel"/>
    <w:tmpl w:val="61685DFC"/>
    <w:lvl w:ilvl="0" w:tplc="FE86F6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2F6F"/>
    <w:multiLevelType w:val="hybridMultilevel"/>
    <w:tmpl w:val="E9483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3B1"/>
    <w:rsid w:val="00022748"/>
    <w:rsid w:val="00094880"/>
    <w:rsid w:val="0015038E"/>
    <w:rsid w:val="001812CA"/>
    <w:rsid w:val="001E7563"/>
    <w:rsid w:val="00255746"/>
    <w:rsid w:val="002C3011"/>
    <w:rsid w:val="00326A4E"/>
    <w:rsid w:val="00327168"/>
    <w:rsid w:val="003429D5"/>
    <w:rsid w:val="003B7EE2"/>
    <w:rsid w:val="004E6537"/>
    <w:rsid w:val="0051348C"/>
    <w:rsid w:val="005D5307"/>
    <w:rsid w:val="006049B4"/>
    <w:rsid w:val="006476BE"/>
    <w:rsid w:val="00744C76"/>
    <w:rsid w:val="007518A3"/>
    <w:rsid w:val="00762163"/>
    <w:rsid w:val="00884060"/>
    <w:rsid w:val="008B182A"/>
    <w:rsid w:val="009A32D0"/>
    <w:rsid w:val="00A237D8"/>
    <w:rsid w:val="00AC5018"/>
    <w:rsid w:val="00AD7692"/>
    <w:rsid w:val="00B56192"/>
    <w:rsid w:val="00BA2C27"/>
    <w:rsid w:val="00BA3860"/>
    <w:rsid w:val="00BC1591"/>
    <w:rsid w:val="00C313B1"/>
    <w:rsid w:val="00CC6231"/>
    <w:rsid w:val="00CE3CBF"/>
    <w:rsid w:val="00CE78BF"/>
    <w:rsid w:val="00D4289B"/>
    <w:rsid w:val="00D76E07"/>
    <w:rsid w:val="00DA1FF4"/>
    <w:rsid w:val="00E105A3"/>
    <w:rsid w:val="00F076B9"/>
    <w:rsid w:val="00F30231"/>
    <w:rsid w:val="00F37614"/>
    <w:rsid w:val="00FA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B1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313B1"/>
    <w:pPr>
      <w:keepNext/>
      <w:keepLines/>
      <w:pageBreakBefore/>
      <w:numPr>
        <w:numId w:val="1"/>
      </w:numPr>
      <w:shd w:val="clear" w:color="auto" w:fill="D9D9D9"/>
      <w:tabs>
        <w:tab w:val="left" w:pos="3261"/>
      </w:tabs>
      <w:ind w:left="3261" w:hanging="3261"/>
      <w:outlineLvl w:val="0"/>
    </w:pPr>
    <w:rPr>
      <w:b/>
      <w:bCs/>
      <w:color w:val="990000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313B1"/>
    <w:pPr>
      <w:keepNext/>
      <w:keepLines/>
      <w:pageBreakBefore/>
      <w:numPr>
        <w:ilvl w:val="1"/>
        <w:numId w:val="1"/>
      </w:numPr>
      <w:tabs>
        <w:tab w:val="left" w:pos="1985"/>
      </w:tabs>
      <w:outlineLvl w:val="1"/>
    </w:pPr>
    <w:rPr>
      <w:b/>
      <w:bCs/>
      <w:color w:val="990000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C313B1"/>
    <w:pPr>
      <w:keepNext/>
      <w:keepLines/>
      <w:pageBreakBefore/>
      <w:numPr>
        <w:ilvl w:val="2"/>
        <w:numId w:val="1"/>
      </w:numPr>
      <w:tabs>
        <w:tab w:val="left" w:pos="1985"/>
      </w:tabs>
      <w:ind w:left="1985" w:hanging="1985"/>
      <w:outlineLvl w:val="2"/>
    </w:pPr>
    <w:rPr>
      <w:b/>
      <w:bCs/>
      <w:color w:val="99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313B1"/>
    <w:pPr>
      <w:keepNext/>
      <w:keepLines/>
      <w:numPr>
        <w:ilvl w:val="3"/>
        <w:numId w:val="1"/>
      </w:numPr>
      <w:tabs>
        <w:tab w:val="left" w:pos="851"/>
      </w:tabs>
      <w:spacing w:before="200"/>
      <w:outlineLvl w:val="3"/>
    </w:pPr>
    <w:rPr>
      <w:b/>
      <w:bCs/>
      <w:i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qFormat/>
    <w:rsid w:val="00C313B1"/>
    <w:pPr>
      <w:keepNext/>
      <w:keepLines/>
      <w:numPr>
        <w:ilvl w:val="4"/>
        <w:numId w:val="1"/>
      </w:numPr>
      <w:spacing w:before="200"/>
      <w:outlineLvl w:val="4"/>
    </w:pPr>
    <w:rPr>
      <w:color w:val="990000"/>
    </w:rPr>
  </w:style>
  <w:style w:type="paragraph" w:styleId="Heading6">
    <w:name w:val="heading 6"/>
    <w:basedOn w:val="Normal"/>
    <w:next w:val="Normal"/>
    <w:link w:val="Heading6Char"/>
    <w:qFormat/>
    <w:rsid w:val="00C313B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313B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313B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313B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3B1"/>
    <w:rPr>
      <w:rFonts w:ascii="Arial Narrow" w:eastAsia="Times New Roman" w:hAnsi="Arial Narrow" w:cs="Times New Roman"/>
      <w:b/>
      <w:bCs/>
      <w:color w:val="990000"/>
      <w:sz w:val="32"/>
      <w:szCs w:val="28"/>
      <w:shd w:val="clear" w:color="auto" w:fill="D9D9D9"/>
      <w:lang w:eastAsia="el-GR"/>
    </w:rPr>
  </w:style>
  <w:style w:type="character" w:customStyle="1" w:styleId="Heading2Char">
    <w:name w:val="Heading 2 Char"/>
    <w:basedOn w:val="DefaultParagraphFont"/>
    <w:link w:val="Heading2"/>
    <w:rsid w:val="00C313B1"/>
    <w:rPr>
      <w:rFonts w:ascii="Arial Narrow" w:eastAsia="Times New Roman" w:hAnsi="Arial Narrow" w:cs="Times New Roman"/>
      <w:b/>
      <w:bCs/>
      <w:color w:val="990000"/>
      <w:sz w:val="28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rsid w:val="00C313B1"/>
    <w:rPr>
      <w:rFonts w:ascii="Arial Narrow" w:eastAsia="Times New Roman" w:hAnsi="Arial Narrow" w:cs="Times New Roman"/>
      <w:b/>
      <w:bCs/>
      <w:color w:val="990000"/>
      <w:sz w:val="28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C313B1"/>
    <w:rPr>
      <w:rFonts w:ascii="Arial Narrow" w:eastAsia="Times New Roman" w:hAnsi="Arial Narrow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C313B1"/>
    <w:rPr>
      <w:rFonts w:ascii="Arial Narrow" w:eastAsia="Times New Roman" w:hAnsi="Arial Narrow" w:cs="Times New Roman"/>
      <w:color w:val="990000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C313B1"/>
    <w:rPr>
      <w:rFonts w:ascii="Cambria" w:eastAsia="Times New Roman" w:hAnsi="Cambria" w:cs="Times New Roman"/>
      <w:i/>
      <w:iCs/>
      <w:color w:val="243F60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C313B1"/>
    <w:rPr>
      <w:rFonts w:ascii="Cambria" w:eastAsia="Times New Roman" w:hAnsi="Cambria" w:cs="Times New Roman"/>
      <w:i/>
      <w:iCs/>
      <w:color w:val="404040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C313B1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rsid w:val="00C313B1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Footer">
    <w:name w:val="footer"/>
    <w:basedOn w:val="Header"/>
    <w:link w:val="FooterChar"/>
    <w:uiPriority w:val="99"/>
    <w:rsid w:val="00C313B1"/>
    <w:pPr>
      <w:tabs>
        <w:tab w:val="clear" w:pos="4153"/>
        <w:tab w:val="clear" w:pos="8306"/>
      </w:tabs>
      <w:spacing w:before="40" w:after="4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13B1"/>
    <w:rPr>
      <w:rFonts w:ascii="Arial Narrow" w:eastAsia="Times New Roman" w:hAnsi="Arial Narrow" w:cs="Times New Roman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C313B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31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3B1"/>
    <w:rPr>
      <w:rFonts w:ascii="Arial Narrow" w:eastAsia="Times New Roman" w:hAnsi="Arial Narrow" w:cs="Times New Roman"/>
      <w:sz w:val="20"/>
      <w:szCs w:val="20"/>
      <w:lang w:eastAsia="el-GR"/>
    </w:rPr>
  </w:style>
  <w:style w:type="character" w:styleId="FootnoteReference">
    <w:name w:val="footnote reference"/>
    <w:unhideWhenUsed/>
    <w:rsid w:val="00C313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13B1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313B1"/>
    <w:rPr>
      <w:rFonts w:ascii="Arial Narrow" w:eastAsia="Times New Roman" w:hAnsi="Arial Narrow" w:cs="Times New Roman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B1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Baltas</dc:creator>
  <cp:keywords/>
  <dc:description/>
  <cp:lastModifiedBy>ar</cp:lastModifiedBy>
  <cp:revision>6</cp:revision>
  <cp:lastPrinted>2015-10-02T10:57:00Z</cp:lastPrinted>
  <dcterms:created xsi:type="dcterms:W3CDTF">2015-11-09T09:18:00Z</dcterms:created>
  <dcterms:modified xsi:type="dcterms:W3CDTF">2015-11-09T10:59:00Z</dcterms:modified>
</cp:coreProperties>
</file>